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924CAE0">
      <w:pPr>
        <w:spacing w:line="240" w:lineRule="auto"/>
        <w:ind w:firstLine="56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ПРОГРАММА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32"/>
          <w:szCs w:val="32"/>
        </w:rPr>
        <w:t>«Мир сказочных звуков»</w:t>
      </w:r>
      <w:r>
        <w:rPr>
          <w:rFonts w:hint="default"/>
          <w:b/>
          <w:bCs/>
          <w:sz w:val="32"/>
          <w:szCs w:val="32"/>
          <w:lang w:val="ru-RU"/>
        </w:rPr>
        <w:t xml:space="preserve"> </w:t>
      </w:r>
      <w:r>
        <w:rPr>
          <w:b/>
          <w:bCs/>
          <w:sz w:val="28"/>
          <w:szCs w:val="28"/>
        </w:rPr>
        <w:t>Особенности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фонематического восприятия у детей с</w:t>
      </w:r>
      <w:r>
        <w:rPr>
          <w:b/>
          <w:sz w:val="28"/>
          <w:szCs w:val="28"/>
        </w:rPr>
        <w:t xml:space="preserve"> тяжелыми нарушениями речи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(ТНР)</w:t>
      </w:r>
    </w:p>
    <w:p w14:paraId="3FAD2BF9">
      <w:pPr>
        <w:wordWrap w:val="0"/>
        <w:spacing w:line="240" w:lineRule="auto"/>
        <w:jc w:val="right"/>
        <w:rPr>
          <w:rFonts w:hint="default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Составитель</w:t>
      </w:r>
      <w:r>
        <w:rPr>
          <w:rFonts w:hint="default"/>
          <w:b/>
          <w:bCs/>
          <w:sz w:val="28"/>
          <w:szCs w:val="28"/>
          <w:lang w:val="ru-RU"/>
        </w:rPr>
        <w:t xml:space="preserve">: </w:t>
      </w:r>
      <w:r>
        <w:rPr>
          <w:sz w:val="28"/>
          <w:szCs w:val="28"/>
        </w:rPr>
        <w:t>учитель-логопед ОРНОФ и УВ</w:t>
      </w:r>
    </w:p>
    <w:p w14:paraId="7CEA56B3">
      <w:pPr>
        <w:spacing w:line="240" w:lineRule="auto"/>
        <w:jc w:val="righ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Аракелян Г.Б.</w:t>
      </w:r>
    </w:p>
    <w:p w14:paraId="636120DA">
      <w:pPr>
        <w:wordWrap w:val="0"/>
        <w:spacing w:line="240" w:lineRule="auto"/>
        <w:jc w:val="right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 xml:space="preserve"> </w:t>
      </w:r>
    </w:p>
    <w:p w14:paraId="2C9A9D7E">
      <w:pPr>
        <w:spacing w:line="240" w:lineRule="auto"/>
        <w:ind w:firstLine="561" w:firstLineChars="200"/>
        <w:jc w:val="center"/>
        <w:rPr>
          <w:rStyle w:val="152"/>
          <w:sz w:val="28"/>
          <w:szCs w:val="28"/>
          <w:shd w:val="clear" w:color="auto" w:fill="FFFFFF"/>
        </w:rPr>
      </w:pPr>
      <w:r>
        <w:rPr>
          <w:rFonts w:eastAsia="Times New Roman"/>
          <w:b/>
          <w:bCs/>
          <w:sz w:val="28"/>
          <w:szCs w:val="28"/>
        </w:rPr>
        <w:t>Пояснительная записка</w:t>
      </w:r>
    </w:p>
    <w:p w14:paraId="41EE2D35">
      <w:pPr>
        <w:pStyle w:val="91"/>
        <w:shd w:val="clear" w:color="auto" w:fill="FFFFFF"/>
        <w:spacing w:after="0" w:line="240" w:lineRule="auto"/>
        <w:ind w:firstLine="708"/>
        <w:jc w:val="both"/>
        <w:rPr>
          <w:rStyle w:val="152"/>
          <w:rFonts w:ascii="Arial" w:hAnsi="Arial" w:cs="Arial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Дети с тяжелыми нарушениями речи (далее - ТНР) представляют собой сложную разнородную группу, характеризующуюся разной степенью и механизмом нарушения речи, временем его возникновения, разнородным уровнем психофизического развития. У детей дошкольного возраста наиболее часто отмечаются тяжёлые речевые нарушения, среди которых задержка речевого развития (ЗРР) составляет 9 %, общее недоразвитие речи (ОНР) - 28,6 %, заикание - 9,2 %, различные формы дизартрии - 14,5 %, нарушение звукопроизношения - 69%. Примерно 70% детей подготовительных к школе групп - это дети с речевыми нарушениями. У 25% детей данной категории причиной нарушения является несформированность фонематических процессов.</w:t>
      </w:r>
      <w:r>
        <w:rPr>
          <w:rStyle w:val="152"/>
          <w:rFonts w:ascii="Arial" w:hAnsi="Arial" w:cs="Arial"/>
          <w:sz w:val="28"/>
          <w:szCs w:val="28"/>
          <w:shd w:val="clear" w:color="auto" w:fill="FFFFFF"/>
          <w:lang w:val="ru-RU"/>
        </w:rPr>
        <w:t xml:space="preserve"> </w:t>
      </w:r>
    </w:p>
    <w:p w14:paraId="44C35FDD">
      <w:pPr>
        <w:pStyle w:val="91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Фонематические процессы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широкое понятие</w:t>
      </w:r>
      <w:r>
        <w:rPr>
          <w:rFonts w:ascii="Times New Roman" w:hAnsi="Times New Roman" w:cs="Times New Roman"/>
          <w:sz w:val="28"/>
          <w:szCs w:val="28"/>
          <w:lang w:val="ru-RU"/>
        </w:rPr>
        <w:t>, которое включает в себя несколько составляющих, тесно связанных друг с другом, а именно: 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фонематическое восприятие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или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фонематический слух</w:t>
      </w:r>
      <w:r>
        <w:rPr>
          <w:rFonts w:ascii="Times New Roman" w:hAnsi="Times New Roman" w:cs="Times New Roman"/>
          <w:sz w:val="28"/>
          <w:szCs w:val="28"/>
          <w:lang w:val="ru-RU"/>
        </w:rPr>
        <w:t>, 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фонематический анализ и синтез</w:t>
      </w:r>
      <w:r>
        <w:rPr>
          <w:rFonts w:ascii="Times New Roman" w:hAnsi="Times New Roman" w:cs="Times New Roman"/>
          <w:sz w:val="28"/>
          <w:szCs w:val="28"/>
          <w:lang w:val="ru-RU"/>
        </w:rPr>
        <w:t>, 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фонематические представления</w:t>
      </w:r>
      <w:r>
        <w:rPr>
          <w:rFonts w:ascii="Times New Roman" w:hAnsi="Times New Roman" w:cs="Times New Roman"/>
          <w:sz w:val="28"/>
          <w:szCs w:val="28"/>
          <w:lang w:val="ru-RU"/>
        </w:rPr>
        <w:t>. Фонематический слух – способность к слуховому восприятию речи, фонем. Имеет существенное значение для овладения звуковой стороной языка, на его основе формируется фонематическое восприятие. Теория и практика логопедической работы доказывают, что развитые фонематические процессы – важный фактор успешного становления речевой системы в целом.</w:t>
      </w:r>
    </w:p>
    <w:p w14:paraId="74EDD9B6">
      <w:pPr>
        <w:pStyle w:val="91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Приведенная выше статистика свидетельствует о достаточно сложной ситуации, сложившейся в настоящее время в системе воспитания и обучения детей дошкольного возраста, а также подчеркивает тот факт, что большую часть детей дошкольного возраста составляют дети с фонетико-фонематическим недоразвитием речи.</w:t>
      </w:r>
    </w:p>
    <w:p w14:paraId="1F233CB0">
      <w:pPr>
        <w:pStyle w:val="91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Все выше описанное составляет актуальность выдвинутой проблемы и обосновывает необходимость и важность осуществления своевременной целенаправленной систематической </w:t>
      </w:r>
      <w:r>
        <w:rPr>
          <w:rFonts w:ascii="Times New Roman" w:hAnsi="Times New Roman" w:cs="Times New Roman"/>
          <w:sz w:val="28"/>
          <w:szCs w:val="28"/>
          <w:lang w:val="ru-RU"/>
        </w:rPr>
        <w:t>коррекционно-педагогической работы</w:t>
      </w:r>
      <w:r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9266A08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программы: </w:t>
      </w:r>
      <w:r>
        <w:rPr>
          <w:rFonts w:ascii="Times New Roman" w:hAnsi="Times New Roman" w:cs="Times New Roman"/>
          <w:sz w:val="28"/>
          <w:szCs w:val="28"/>
          <w:lang w:val="ru-RU"/>
        </w:rPr>
        <w:t>формирование фонематического восприятия у детей с тяжелыми нарушениями речи (далее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ru-RU"/>
        </w:rPr>
        <w:t>ТНР).</w:t>
      </w:r>
    </w:p>
    <w:p w14:paraId="6717737D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Задачи программы:</w:t>
      </w:r>
    </w:p>
    <w:p w14:paraId="489C95A4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ru-RU"/>
        </w:rPr>
        <w:t>Развить способности дифференцировать речевые и неречевые звуки;</w:t>
      </w:r>
    </w:p>
    <w:p w14:paraId="2CB1155A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19"/>
          <w:rFonts w:ascii="Times New Roman" w:hAnsi="Times New Roman" w:cs="Times New Roman"/>
          <w:bCs/>
          <w:i w:val="0"/>
          <w:sz w:val="28"/>
          <w:szCs w:val="28"/>
          <w:lang w:val="ru-RU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ru-RU"/>
        </w:rPr>
        <w:t>Сформировать навыки звукового анализа и синтеза;</w:t>
      </w:r>
    </w:p>
    <w:p w14:paraId="41BF06F8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Развить навыки слухового внимания и памяти.</w:t>
      </w:r>
    </w:p>
    <w:p w14:paraId="701799C5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Ожидаемые результаты: </w:t>
      </w:r>
    </w:p>
    <w:p w14:paraId="05F4AFFA">
      <w:pPr>
        <w:pStyle w:val="91"/>
        <w:numPr>
          <w:ilvl w:val="0"/>
          <w:numId w:val="11"/>
        </w:numPr>
        <w:spacing w:after="0" w:line="240" w:lineRule="auto"/>
        <w:ind w:firstLine="709"/>
        <w:jc w:val="both"/>
        <w:rPr>
          <w:rStyle w:val="19"/>
          <w:rFonts w:ascii="Times New Roman" w:hAnsi="Times New Roman" w:cs="Times New Roman"/>
          <w:bCs/>
          <w:i w:val="0"/>
          <w:sz w:val="28"/>
          <w:szCs w:val="28"/>
          <w:lang w:val="ru-RU"/>
        </w:rPr>
      </w:pPr>
      <w:r>
        <w:rPr>
          <w:rStyle w:val="19"/>
          <w:rFonts w:ascii="Times New Roman" w:hAnsi="Times New Roman" w:cs="Times New Roman"/>
          <w:bCs/>
          <w:i w:val="0"/>
          <w:sz w:val="28"/>
          <w:szCs w:val="28"/>
          <w:lang w:val="ru-RU"/>
        </w:rPr>
        <w:t>Умение различать звуки речи по тембру, силе и высоте, а также сходные между собой по звучанию слова, слоги, звуки;</w:t>
      </w:r>
    </w:p>
    <w:p w14:paraId="2CB774C4">
      <w:pPr>
        <w:pStyle w:val="91"/>
        <w:numPr>
          <w:ilvl w:val="0"/>
          <w:numId w:val="11"/>
        </w:numPr>
        <w:spacing w:after="0" w:line="240" w:lineRule="auto"/>
        <w:ind w:firstLine="709"/>
        <w:jc w:val="both"/>
        <w:rPr>
          <w:rStyle w:val="19"/>
          <w:rFonts w:ascii="Times New Roman" w:hAnsi="Times New Roman" w:cs="Times New Roman"/>
          <w:bCs/>
          <w:i w:val="0"/>
          <w:sz w:val="28"/>
          <w:szCs w:val="28"/>
          <w:lang w:val="ru-RU"/>
        </w:rPr>
      </w:pPr>
      <w:r>
        <w:rPr>
          <w:rStyle w:val="19"/>
          <w:rFonts w:ascii="Times New Roman" w:hAnsi="Times New Roman" w:cs="Times New Roman"/>
          <w:bCs/>
          <w:i w:val="0"/>
          <w:sz w:val="28"/>
          <w:szCs w:val="28"/>
          <w:lang w:val="ru-RU"/>
        </w:rPr>
        <w:t>Улучшение звукового восприятия речи и звуков окружающего мира;</w:t>
      </w:r>
    </w:p>
    <w:p w14:paraId="608974F6">
      <w:pPr>
        <w:pStyle w:val="91"/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Style w:val="19"/>
          <w:rFonts w:ascii="Times New Roman" w:hAnsi="Times New Roman" w:cs="Times New Roman"/>
          <w:bCs/>
          <w:i w:val="0"/>
          <w:sz w:val="28"/>
          <w:szCs w:val="28"/>
          <w:lang w:val="ru-RU"/>
        </w:rPr>
        <w:t>Совершенствование навыков запоминания речевого ряда.</w:t>
      </w:r>
    </w:p>
    <w:p w14:paraId="0216B5C5">
      <w:pPr>
        <w:pStyle w:val="91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имеет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социально-педагогическую направленность.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1E50BA1">
      <w:pPr>
        <w:shd w:val="clear" w:color="auto" w:fill="FFFFFF"/>
        <w:spacing w:line="240" w:lineRule="auto"/>
        <w:ind w:left="9" w:firstLine="701" w:firstLineChars="250"/>
        <w:jc w:val="both"/>
        <w:rPr>
          <w:rFonts w:eastAsiaTheme="minorEastAsia"/>
          <w:b/>
          <w:sz w:val="28"/>
          <w:szCs w:val="28"/>
          <w:shd w:val="clear" w:color="auto" w:fill="FFFFFF"/>
          <w:lang w:eastAsia="zh-CN"/>
        </w:rPr>
      </w:pPr>
      <w:r>
        <w:rPr>
          <w:b/>
          <w:sz w:val="28"/>
          <w:szCs w:val="28"/>
        </w:rPr>
        <w:t>Инновационность</w:t>
      </w:r>
      <w:r>
        <w:rPr>
          <w:sz w:val="28"/>
          <w:szCs w:val="28"/>
        </w:rPr>
        <w:t> заключается в систематизированном подборе инновационных технологий, методик, направленных на формирование фонематического восприятия у</w:t>
      </w:r>
      <w:r>
        <w:rPr>
          <w:sz w:val="28"/>
          <w:szCs w:val="28"/>
          <w:lang w:eastAsia="zh-CN"/>
        </w:rPr>
        <w:t xml:space="preserve"> детей с ТНР.</w:t>
      </w:r>
    </w:p>
    <w:p w14:paraId="1069EF76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Целевая группа: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программа рассчитана на работу с несовершеннолетними в возрасте 4-8 лет, имеющими ТНР (ОВЗ, дизартрия, ОНР </w:t>
      </w:r>
      <w:r>
        <w:rPr>
          <w:rFonts w:ascii="Times New Roman" w:hAnsi="Times New Roman" w:cs="Times New Roman"/>
          <w:bCs/>
          <w:sz w:val="28"/>
          <w:szCs w:val="28"/>
        </w:rPr>
        <w:t>II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III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уровень).</w:t>
      </w:r>
    </w:p>
    <w:p w14:paraId="58DAC390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Срок реализации: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2025-2030 гг. </w:t>
      </w:r>
    </w:p>
    <w:p w14:paraId="50BAD882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Программа включает в себя 12 занятий (рассчитана на курс реабилитации ГБУСО «Ставропольский ЦСПСиД»). </w:t>
      </w:r>
    </w:p>
    <w:p w14:paraId="4AD9386E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Программа может быть реализована в групповой и индивидуальной форме работы, учитывает индивидуальные особенности детей.</w:t>
      </w:r>
    </w:p>
    <w:p w14:paraId="4828F08F">
      <w:pPr>
        <w:spacing w:line="240" w:lineRule="auto"/>
        <w:ind w:firstLine="567"/>
        <w:jc w:val="both"/>
        <w:rPr>
          <w:rFonts w:eastAsiaTheme="minorEastAsia"/>
          <w:bCs/>
          <w:sz w:val="28"/>
          <w:szCs w:val="28"/>
          <w:lang w:eastAsia="zh-CN"/>
        </w:rPr>
      </w:pPr>
      <w:r>
        <w:rPr>
          <w:b/>
          <w:sz w:val="28"/>
          <w:szCs w:val="28"/>
          <w:shd w:val="clear" w:color="auto" w:fill="FFFFFF"/>
        </w:rPr>
        <w:t xml:space="preserve">Критерии оценки эффективности реализации программы: </w:t>
      </w:r>
      <w:r>
        <w:rPr>
          <w:rFonts w:eastAsiaTheme="minorEastAsia"/>
          <w:bCs/>
          <w:sz w:val="28"/>
          <w:szCs w:val="28"/>
          <w:lang w:eastAsia="zh-CN"/>
        </w:rPr>
        <w:t>программа отслеживается посредством диагностики на начало и конец курса реабилитации (протокол обследования фонетико-фонематической системы у детей дошкольного возраста с ТНР - Приложение №1).</w:t>
      </w:r>
    </w:p>
    <w:p w14:paraId="5D691E1D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Материально-техническое обеспечение:</w:t>
      </w:r>
    </w:p>
    <w:p w14:paraId="60CAE973">
      <w:pPr>
        <w:pStyle w:val="9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Занятия проводятся в специально оборудованном кабинете, укомплектованном методическими и техническими средствами:</w:t>
      </w:r>
    </w:p>
    <w:p w14:paraId="76C54772">
      <w:pPr>
        <w:pStyle w:val="91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– музыкальные игрушки: колокольчики, дудочки, погремушки, барабан, мячики; </w:t>
      </w:r>
    </w:p>
    <w:p w14:paraId="2A8FA6EB">
      <w:pPr>
        <w:pStyle w:val="91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– логопедический блокнот по развитию фонематического слуха (Н.В. Нищева «Секреты развития фонематического слуха»);</w:t>
      </w:r>
    </w:p>
    <w:p w14:paraId="0883E26B">
      <w:pPr>
        <w:pStyle w:val="91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– логопедический альбом по развитию речи (С. В Батяева, Е. В. Савостьянова, В.С.Володина «Большой альбом по развитию речи»); </w:t>
      </w:r>
    </w:p>
    <w:p w14:paraId="437DF481">
      <w:pPr>
        <w:pStyle w:val="91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– интерактивный стол логопеда;</w:t>
      </w:r>
    </w:p>
    <w:p w14:paraId="48507B96">
      <w:pPr>
        <w:pStyle w:val="91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–интерактивные материалы: сигнальные флажки, предметные картинки, фишки, карточки.</w:t>
      </w:r>
    </w:p>
    <w:p w14:paraId="1F1AC1DB">
      <w:pPr>
        <w:pStyle w:val="91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Эффективность оценивается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посредством диагностики на начало и конец курса реабилитации (протокол обследования фонетико-фонематической системы у детей дошкольного возраста с ТНР (тяжёлыми нарушениями речи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– Приложение 1). </w:t>
      </w:r>
    </w:p>
    <w:p w14:paraId="7977FB64">
      <w:pPr>
        <w:spacing w:line="240" w:lineRule="auto"/>
        <w:rPr>
          <w:b/>
          <w:bCs/>
          <w:sz w:val="28"/>
          <w:szCs w:val="28"/>
          <w:lang w:val="en-US"/>
        </w:rPr>
      </w:pPr>
    </w:p>
    <w:p w14:paraId="3BBD70D0">
      <w:pPr>
        <w:spacing w:line="240" w:lineRule="auto"/>
        <w:rPr>
          <w:b/>
          <w:bCs/>
          <w:sz w:val="28"/>
          <w:szCs w:val="28"/>
          <w:lang w:val="en-US"/>
        </w:rPr>
      </w:pPr>
    </w:p>
    <w:p w14:paraId="2363F97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</w:p>
    <w:sectPr>
      <w:pgSz w:w="11906" w:h="16838"/>
      <w:pgMar w:top="1134" w:right="850" w:bottom="1134" w:left="1701" w:header="0" w:footer="0" w:gutter="0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PT Sans">
    <w:altName w:val="Segoe Print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Helvetica Neue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B42816"/>
    <w:multiLevelType w:val="singleLevel"/>
    <w:tmpl w:val="ADB4281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3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6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50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89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7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82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85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84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8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83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0"/>
  </w:num>
  <w:num w:numId="7">
    <w:abstractNumId w:val="8"/>
  </w:num>
  <w:num w:numId="8">
    <w:abstractNumId w:val="7"/>
  </w:num>
  <w:num w:numId="9">
    <w:abstractNumId w:val="9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A68C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351008CB"/>
    <w:rsid w:val="3D2E204C"/>
    <w:rsid w:val="431A68CC"/>
    <w:rsid w:val="6C83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unhideWhenUsed="0" w:uiPriority="0" w:semiHidden="0" w:name="List Continue 4"/>
    <w:lsdException w:qFormat="1"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qFormat="1"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qFormat="1"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ru-RU" w:eastAsia="ru-RU" w:bidi="ar-SA"/>
    </w:rPr>
  </w:style>
  <w:style w:type="paragraph" w:styleId="2">
    <w:name w:val="heading 1"/>
    <w:basedOn w:val="1"/>
    <w:next w:val="1"/>
    <w:link w:val="152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uiPriority w:val="0"/>
  </w:style>
  <w:style w:type="character" w:styleId="25">
    <w:name w:val="HTML Definition"/>
    <w:basedOn w:val="11"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29"/>
    <w:qFormat/>
    <w:uiPriority w:val="0"/>
    <w:rPr>
      <w:b/>
      <w:bCs/>
    </w:rPr>
  </w:style>
  <w:style w:type="character" w:customStyle="1" w:styleId="29">
    <w:name w:val="Основной шрифт абзаца1"/>
    <w:qFormat/>
    <w:uiPriority w:val="67"/>
  </w:style>
  <w:style w:type="character" w:styleId="30">
    <w:name w:val="HTML Cite"/>
    <w:basedOn w:val="11"/>
    <w:qFormat/>
    <w:uiPriority w:val="0"/>
    <w:rPr>
      <w:i/>
      <w:iCs/>
    </w:rPr>
  </w:style>
  <w:style w:type="paragraph" w:styleId="31">
    <w:name w:val="Balloon Text"/>
    <w:basedOn w:val="1"/>
    <w:uiPriority w:val="0"/>
    <w:rPr>
      <w:sz w:val="16"/>
      <w:szCs w:val="16"/>
    </w:rPr>
  </w:style>
  <w:style w:type="paragraph" w:styleId="32">
    <w:name w:val="List 5"/>
    <w:basedOn w:val="1"/>
    <w:qFormat/>
    <w:uiPriority w:val="0"/>
    <w:pPr>
      <w:ind w:left="1800" w:hanging="360"/>
    </w:pPr>
  </w:style>
  <w:style w:type="paragraph" w:styleId="33">
    <w:name w:val="List Continue"/>
    <w:basedOn w:val="1"/>
    <w:qFormat/>
    <w:uiPriority w:val="0"/>
    <w:pPr>
      <w:spacing w:after="120"/>
      <w:ind w:left="360"/>
    </w:pPr>
  </w:style>
  <w:style w:type="paragraph" w:styleId="34">
    <w:name w:val="Body Text 2"/>
    <w:basedOn w:val="1"/>
    <w:qFormat/>
    <w:uiPriority w:val="0"/>
    <w:pPr>
      <w:spacing w:after="120" w:line="480" w:lineRule="auto"/>
    </w:pPr>
  </w:style>
  <w:style w:type="paragraph" w:styleId="35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6">
    <w:name w:val="Closing"/>
    <w:basedOn w:val="1"/>
    <w:qFormat/>
    <w:uiPriority w:val="0"/>
    <w:pPr>
      <w:ind w:left="4320"/>
    </w:pPr>
  </w:style>
  <w:style w:type="paragraph" w:styleId="37">
    <w:name w:val="Normal Indent"/>
    <w:basedOn w:val="1"/>
    <w:qFormat/>
    <w:uiPriority w:val="0"/>
    <w:pPr>
      <w:ind w:left="708"/>
    </w:pPr>
  </w:style>
  <w:style w:type="paragraph" w:styleId="38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9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40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1">
    <w:name w:val="endnote text"/>
    <w:basedOn w:val="1"/>
    <w:qFormat/>
    <w:uiPriority w:val="0"/>
    <w:pPr>
      <w:snapToGrid w:val="0"/>
      <w:jc w:val="left"/>
    </w:pPr>
  </w:style>
  <w:style w:type="paragraph" w:styleId="42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3">
    <w:name w:val="annotation text"/>
    <w:basedOn w:val="1"/>
    <w:qFormat/>
    <w:uiPriority w:val="0"/>
    <w:pPr>
      <w:jc w:val="left"/>
    </w:pPr>
  </w:style>
  <w:style w:type="paragraph" w:styleId="44">
    <w:name w:val="index 1"/>
    <w:basedOn w:val="1"/>
    <w:next w:val="1"/>
    <w:qFormat/>
    <w:uiPriority w:val="0"/>
  </w:style>
  <w:style w:type="paragraph" w:styleId="45">
    <w:name w:val="annotation subject"/>
    <w:basedOn w:val="43"/>
    <w:next w:val="43"/>
    <w:qFormat/>
    <w:uiPriority w:val="0"/>
    <w:rPr>
      <w:b/>
      <w:bCs/>
    </w:rPr>
  </w:style>
  <w:style w:type="paragraph" w:styleId="46">
    <w:name w:val="Document Map"/>
    <w:basedOn w:val="1"/>
    <w:qFormat/>
    <w:uiPriority w:val="0"/>
    <w:pPr>
      <w:shd w:val="clear" w:color="auto" w:fill="000080"/>
    </w:pPr>
  </w:style>
  <w:style w:type="paragraph" w:styleId="47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8">
    <w:name w:val="toc 8"/>
    <w:basedOn w:val="1"/>
    <w:next w:val="1"/>
    <w:uiPriority w:val="0"/>
    <w:pPr>
      <w:ind w:left="2940" w:leftChars="1400"/>
    </w:pPr>
  </w:style>
  <w:style w:type="paragraph" w:styleId="49">
    <w:name w:val="index 2"/>
    <w:basedOn w:val="1"/>
    <w:next w:val="1"/>
    <w:qFormat/>
    <w:uiPriority w:val="0"/>
    <w:pPr>
      <w:ind w:left="200" w:leftChars="200"/>
    </w:pPr>
  </w:style>
  <w:style w:type="paragraph" w:styleId="50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1">
    <w:name w:val="HTML Address"/>
    <w:basedOn w:val="1"/>
    <w:qFormat/>
    <w:uiPriority w:val="0"/>
    <w:rPr>
      <w:i/>
      <w:iCs/>
    </w:rPr>
  </w:style>
  <w:style w:type="paragraph" w:styleId="52">
    <w:name w:val="index 7"/>
    <w:basedOn w:val="1"/>
    <w:next w:val="1"/>
    <w:qFormat/>
    <w:uiPriority w:val="0"/>
    <w:pPr>
      <w:ind w:left="1200" w:leftChars="1200"/>
    </w:pPr>
  </w:style>
  <w:style w:type="paragraph" w:styleId="53">
    <w:name w:val="index 3"/>
    <w:basedOn w:val="1"/>
    <w:next w:val="1"/>
    <w:uiPriority w:val="0"/>
    <w:pPr>
      <w:ind w:left="400" w:leftChars="400"/>
    </w:pPr>
  </w:style>
  <w:style w:type="paragraph" w:styleId="54">
    <w:name w:val="index 5"/>
    <w:basedOn w:val="1"/>
    <w:next w:val="1"/>
    <w:qFormat/>
    <w:uiPriority w:val="0"/>
    <w:pPr>
      <w:ind w:left="800" w:leftChars="8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7">
    <w:name w:val="toc 9"/>
    <w:basedOn w:val="1"/>
    <w:next w:val="1"/>
    <w:qFormat/>
    <w:uiPriority w:val="0"/>
    <w:pPr>
      <w:ind w:left="3360" w:leftChars="1600"/>
    </w:pPr>
  </w:style>
  <w:style w:type="paragraph" w:styleId="58">
    <w:name w:val="toc 7"/>
    <w:basedOn w:val="1"/>
    <w:next w:val="1"/>
    <w:uiPriority w:val="0"/>
    <w:pPr>
      <w:ind w:left="2520" w:leftChars="1200"/>
    </w:pPr>
  </w:style>
  <w:style w:type="paragraph" w:styleId="59">
    <w:name w:val="index 6"/>
    <w:basedOn w:val="1"/>
    <w:next w:val="1"/>
    <w:qFormat/>
    <w:uiPriority w:val="0"/>
    <w:pPr>
      <w:ind w:left="1000" w:leftChars="1000"/>
    </w:pPr>
  </w:style>
  <w:style w:type="paragraph" w:styleId="60">
    <w:name w:val="envelope address"/>
    <w:basedOn w:val="1"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1">
    <w:name w:val="index 8"/>
    <w:basedOn w:val="1"/>
    <w:next w:val="1"/>
    <w:qFormat/>
    <w:uiPriority w:val="0"/>
    <w:pPr>
      <w:ind w:left="1400" w:leftChars="1400"/>
    </w:pPr>
  </w:style>
  <w:style w:type="paragraph" w:styleId="62">
    <w:name w:val="Body Text"/>
    <w:basedOn w:val="1"/>
    <w:qFormat/>
    <w:uiPriority w:val="0"/>
    <w:pPr>
      <w:spacing w:after="120"/>
    </w:pPr>
  </w:style>
  <w:style w:type="paragraph" w:styleId="63">
    <w:name w:val="index 9"/>
    <w:basedOn w:val="1"/>
    <w:next w:val="1"/>
    <w:qFormat/>
    <w:uiPriority w:val="0"/>
    <w:pPr>
      <w:ind w:left="1600" w:leftChars="1600"/>
    </w:pPr>
  </w:style>
  <w:style w:type="paragraph" w:styleId="64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5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6">
    <w:name w:val="index heading"/>
    <w:basedOn w:val="1"/>
    <w:next w:val="44"/>
    <w:qFormat/>
    <w:uiPriority w:val="0"/>
    <w:rPr>
      <w:rFonts w:ascii="Arial" w:hAnsi="Arial" w:cs="Arial"/>
      <w:b/>
      <w:bCs/>
    </w:rPr>
  </w:style>
  <w:style w:type="paragraph" w:styleId="67">
    <w:name w:val="toc 1"/>
    <w:basedOn w:val="1"/>
    <w:next w:val="1"/>
    <w:qFormat/>
    <w:uiPriority w:val="0"/>
  </w:style>
  <w:style w:type="paragraph" w:styleId="68">
    <w:name w:val="table of authorities"/>
    <w:basedOn w:val="1"/>
    <w:next w:val="1"/>
    <w:qFormat/>
    <w:uiPriority w:val="0"/>
    <w:pPr>
      <w:ind w:left="420" w:leftChars="200"/>
    </w:pPr>
  </w:style>
  <w:style w:type="paragraph" w:styleId="69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70">
    <w:name w:val="toc 6"/>
    <w:basedOn w:val="1"/>
    <w:next w:val="1"/>
    <w:qFormat/>
    <w:uiPriority w:val="0"/>
    <w:pPr>
      <w:ind w:left="2100" w:leftChars="1000"/>
    </w:pPr>
  </w:style>
  <w:style w:type="paragraph" w:styleId="71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2">
    <w:name w:val="toc 3"/>
    <w:basedOn w:val="1"/>
    <w:next w:val="1"/>
    <w:uiPriority w:val="0"/>
    <w:pPr>
      <w:ind w:left="840" w:leftChars="400"/>
    </w:pPr>
  </w:style>
  <w:style w:type="paragraph" w:styleId="73">
    <w:name w:val="toc 2"/>
    <w:basedOn w:val="1"/>
    <w:next w:val="1"/>
    <w:qFormat/>
    <w:uiPriority w:val="0"/>
    <w:pPr>
      <w:ind w:left="420" w:leftChars="200"/>
    </w:pPr>
  </w:style>
  <w:style w:type="paragraph" w:styleId="74">
    <w:name w:val="toc 4"/>
    <w:basedOn w:val="1"/>
    <w:next w:val="1"/>
    <w:qFormat/>
    <w:uiPriority w:val="0"/>
    <w:pPr>
      <w:ind w:left="1260" w:leftChars="600"/>
    </w:pPr>
  </w:style>
  <w:style w:type="paragraph" w:styleId="75">
    <w:name w:val="toc 5"/>
    <w:basedOn w:val="1"/>
    <w:next w:val="1"/>
    <w:uiPriority w:val="0"/>
    <w:pPr>
      <w:ind w:left="1680" w:leftChars="800"/>
    </w:pPr>
  </w:style>
  <w:style w:type="paragraph" w:styleId="76">
    <w:name w:val="Note Heading"/>
    <w:basedOn w:val="1"/>
    <w:next w:val="1"/>
    <w:qFormat/>
    <w:uiPriority w:val="0"/>
  </w:style>
  <w:style w:type="paragraph" w:styleId="77">
    <w:name w:val="Date"/>
    <w:basedOn w:val="1"/>
    <w:next w:val="1"/>
    <w:qFormat/>
    <w:uiPriority w:val="0"/>
  </w:style>
  <w:style w:type="paragraph" w:styleId="78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9">
    <w:name w:val="Body Text First Indent"/>
    <w:basedOn w:val="62"/>
    <w:qFormat/>
    <w:uiPriority w:val="0"/>
    <w:pPr>
      <w:ind w:firstLine="210"/>
    </w:pPr>
  </w:style>
  <w:style w:type="paragraph" w:styleId="80">
    <w:name w:val="Body Text First Indent 2"/>
    <w:basedOn w:val="81"/>
    <w:qFormat/>
    <w:uiPriority w:val="0"/>
    <w:pPr>
      <w:ind w:firstLine="210"/>
    </w:pPr>
  </w:style>
  <w:style w:type="paragraph" w:styleId="81">
    <w:name w:val="Body Text Indent"/>
    <w:basedOn w:val="1"/>
    <w:qFormat/>
    <w:uiPriority w:val="0"/>
    <w:pPr>
      <w:spacing w:after="120"/>
      <w:ind w:left="360"/>
    </w:pPr>
  </w:style>
  <w:style w:type="paragraph" w:styleId="82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3">
    <w:name w:val="List Bullet"/>
    <w:basedOn w:val="1"/>
    <w:uiPriority w:val="0"/>
    <w:pPr>
      <w:numPr>
        <w:ilvl w:val="0"/>
        <w:numId w:val="6"/>
      </w:numPr>
    </w:pPr>
  </w:style>
  <w:style w:type="paragraph" w:styleId="84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5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6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7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8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9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90">
    <w:name w:val="List"/>
    <w:basedOn w:val="1"/>
    <w:qFormat/>
    <w:uiPriority w:val="0"/>
    <w:pPr>
      <w:ind w:left="360" w:hanging="360"/>
    </w:pPr>
  </w:style>
  <w:style w:type="paragraph" w:styleId="91">
    <w:name w:val="Normal (Web)"/>
    <w:basedOn w:val="1"/>
    <w:uiPriority w:val="0"/>
    <w:rPr>
      <w:sz w:val="24"/>
      <w:szCs w:val="24"/>
    </w:rPr>
  </w:style>
  <w:style w:type="paragraph" w:styleId="9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3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4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5">
    <w:name w:val="Signature"/>
    <w:basedOn w:val="1"/>
    <w:qFormat/>
    <w:uiPriority w:val="0"/>
    <w:pPr>
      <w:ind w:left="4320"/>
    </w:pPr>
  </w:style>
  <w:style w:type="paragraph" w:styleId="96">
    <w:name w:val="Salutation"/>
    <w:basedOn w:val="1"/>
    <w:next w:val="1"/>
    <w:qFormat/>
    <w:uiPriority w:val="0"/>
  </w:style>
  <w:style w:type="paragraph" w:styleId="97">
    <w:name w:val="List Continue 2"/>
    <w:basedOn w:val="1"/>
    <w:qFormat/>
    <w:uiPriority w:val="0"/>
    <w:pPr>
      <w:spacing w:after="120"/>
      <w:ind w:left="720"/>
    </w:pPr>
  </w:style>
  <w:style w:type="paragraph" w:styleId="98">
    <w:name w:val="List Continue 3"/>
    <w:basedOn w:val="1"/>
    <w:qFormat/>
    <w:uiPriority w:val="0"/>
    <w:pPr>
      <w:spacing w:after="120"/>
      <w:ind w:left="1080"/>
    </w:pPr>
  </w:style>
  <w:style w:type="paragraph" w:styleId="99">
    <w:name w:val="List Continue 4"/>
    <w:basedOn w:val="1"/>
    <w:uiPriority w:val="0"/>
    <w:pPr>
      <w:spacing w:after="120"/>
      <w:ind w:left="1440"/>
    </w:pPr>
  </w:style>
  <w:style w:type="paragraph" w:styleId="100">
    <w:name w:val="List Continue 5"/>
    <w:basedOn w:val="1"/>
    <w:qFormat/>
    <w:uiPriority w:val="0"/>
    <w:pPr>
      <w:spacing w:after="120"/>
      <w:ind w:left="1800"/>
    </w:pPr>
  </w:style>
  <w:style w:type="paragraph" w:styleId="101">
    <w:name w:val="List 2"/>
    <w:basedOn w:val="1"/>
    <w:qFormat/>
    <w:uiPriority w:val="0"/>
    <w:pPr>
      <w:ind w:left="720" w:hanging="360"/>
    </w:pPr>
  </w:style>
  <w:style w:type="paragraph" w:styleId="102">
    <w:name w:val="List 3"/>
    <w:basedOn w:val="1"/>
    <w:qFormat/>
    <w:uiPriority w:val="0"/>
    <w:pPr>
      <w:ind w:left="1080" w:hanging="360"/>
    </w:pPr>
  </w:style>
  <w:style w:type="paragraph" w:styleId="103">
    <w:name w:val="List 4"/>
    <w:basedOn w:val="1"/>
    <w:uiPriority w:val="0"/>
    <w:pPr>
      <w:ind w:left="1440" w:hanging="360"/>
    </w:pPr>
  </w:style>
  <w:style w:type="paragraph" w:styleId="104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105">
    <w:name w:val="Block Text"/>
    <w:basedOn w:val="1"/>
    <w:uiPriority w:val="0"/>
    <w:pPr>
      <w:spacing w:after="120"/>
      <w:ind w:left="1440" w:right="1440"/>
    </w:pPr>
  </w:style>
  <w:style w:type="paragraph" w:styleId="106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7">
    <w:name w:val="E-mail Signature"/>
    <w:basedOn w:val="1"/>
    <w:uiPriority w:val="0"/>
  </w:style>
  <w:style w:type="table" w:styleId="108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1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4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0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1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2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4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5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6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7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1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2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3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4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6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7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9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4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2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3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4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5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6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9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50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2">
    <w:name w:val="Заголовок 1 Знак"/>
    <w:basedOn w:val="11"/>
    <w:link w:val="2"/>
    <w:qFormat/>
    <w:uiPriority w:val="0"/>
    <w:rPr>
      <w:rFonts w:ascii="Arial" w:hAnsi="Arial" w:cs="Arial"/>
      <w:b/>
      <w:bCs/>
      <w:kern w:val="32"/>
      <w:sz w:val="32"/>
      <w:szCs w:val="32"/>
    </w:rPr>
  </w:style>
  <w:style w:type="paragraph" w:customStyle="1" w:styleId="153">
    <w:name w:val="List Paragraph"/>
    <w:basedOn w:val="1"/>
    <w:qFormat/>
    <w:uiPriority w:val="34"/>
    <w:pPr>
      <w:ind w:left="720"/>
      <w:contextualSpacing/>
    </w:pPr>
    <w:rPr>
      <w:rFonts w:eastAsia="SimSun"/>
      <w:lang w:val="en-US" w:eastAsia="zh-CN"/>
    </w:rPr>
  </w:style>
  <w:style w:type="character" w:customStyle="1" w:styleId="154">
    <w:name w:val="c0"/>
    <w:basedOn w:val="11"/>
    <w:qFormat/>
    <w:uiPriority w:val="0"/>
  </w:style>
  <w:style w:type="paragraph" w:customStyle="1" w:styleId="155">
    <w:name w:val="_Style 1"/>
    <w:qFormat/>
    <w:uiPriority w:val="1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2025-06-10T10:09:00Z</dcterms:created>
  <dc:creator>Елена Гнездилова</dc:creator>
  <cp:lastModifiedBy>Елена Гнездилова</cp:lastModifiedBy>
  <dcterms:modified xsi:type="dcterms:W3CDTF">2025-06-10T14:18:42Z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51C07CB5E1C743C6AC68BA51358F508D_11</vt:lpwstr>
  </property>
</Properties>
</file>